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科脉慧眼AI智能称重系统2.0</w:t>
      </w:r>
    </w:p>
    <w:p>
      <w:pPr>
        <w:pStyle w:val="4"/>
        <w:snapToGrid w:val="0"/>
        <w:jc w:val="left"/>
      </w:pP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1介绍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【功能说明】</w:t>
      </w:r>
    </w:p>
    <w:p>
      <w:pP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</w:rPr>
        <w:t>科脉慧眼AI智能称重系统2.0主要是为了解决人力成本高、员工体验差、顾客体验差的问题，给客户带来更高效，便捷的体验</w:t>
      </w: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  <w:shd w:val="clear" w:color="auto" w:fill="auto"/>
        </w:rPr>
        <w:t>。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【操作步骤】</w:t>
      </w:r>
    </w:p>
    <w:p>
      <w:pP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  <w:shd w:val="clear" w:color="auto" w:fill="auto"/>
        </w:rPr>
        <w:t>我们需要安装配置才能正常使用</w:t>
      </w: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</w:rPr>
        <w:t>科脉慧眼AI智能称重系统2.0，配置步骤如下。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  <w:shd w:val="clear" w:color="auto" w:fill="auto"/>
        </w:rPr>
      </w:pPr>
    </w:p>
    <w:p>
      <w:pPr>
        <w:pStyle w:val="3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1.1安装步骤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【功能说明】</w:t>
      </w:r>
    </w:p>
    <w:p>
      <w:pP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4"/>
          <w:u w:val="none"/>
          <w:shd w:val="clear" w:color="auto" w:fill="auto"/>
        </w:rPr>
        <w:t>取包：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慧眼AI2.0需要付费授权站点，获取相应站点数目激活码（联系科脉商务购买）后进入科脉经销商社区下载并解压“科脉慧眼AI2.0”文件包，将其中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全部文件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复制放到前台 POS 程序根目录下，软件试用期期间有一个站点的试用权限，详情见下图：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【操作界面】</w:t>
      </w:r>
      <w:r>
        <w:rPr>
          <w:rFonts w:ascii="微软雅黑" w:hAnsi="微软雅黑" w:eastAsia="微软雅黑" w:cs="微软雅黑"/>
          <w:b/>
          <w:i w:val="0"/>
          <w:strike w:val="0"/>
          <w:color w:val="FF00FF"/>
          <w:spacing w:val="0"/>
          <w:sz w:val="22"/>
          <w:u w:val="none"/>
          <w:shd w:val="clear" w:color="auto" w:fill="auto"/>
        </w:rPr>
        <w:t xml:space="preserve">  </w:t>
      </w:r>
    </w:p>
    <w:p>
      <w:pPr>
        <w:spacing w:before="0" w:after="0" w:line="240" w:lineRule="auto"/>
        <w:jc w:val="both"/>
      </w:pP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t xml:space="preserve">              </w:t>
      </w:r>
      <w:r>
        <w:drawing>
          <wp:inline distT="0" distB="0" distL="114300" distR="114300">
            <wp:extent cx="5273675" cy="2429510"/>
            <wp:effectExtent l="0" t="0" r="3175" b="889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  <w:jc w:val="both"/>
      </w:pPr>
      <w:r>
        <w:drawing>
          <wp:inline distT="0" distB="0" distL="114300" distR="114300">
            <wp:extent cx="5266690" cy="2481580"/>
            <wp:effectExtent l="0" t="0" r="10160" b="1397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8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before="0" w:after="0" w:line="240" w:lineRule="auto"/>
        <w:jc w:val="both"/>
      </w:pP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t xml:space="preserve">         </w:t>
      </w:r>
    </w:p>
    <w:p>
      <w:pPr>
        <w:spacing w:before="0" w:after="0" w:line="240" w:lineRule="auto"/>
        <w:ind w:left="0"/>
        <w:jc w:val="both"/>
        <w:rPr>
          <w:rFonts w:ascii="微软雅黑" w:hAnsi="微软雅黑" w:eastAsia="微软雅黑" w:cs="微软雅黑"/>
        </w:rPr>
      </w:pPr>
    </w:p>
    <w:p>
      <w:pPr>
        <w:spacing w:before="0" w:after="0" w:line="240" w:lineRule="auto"/>
        <w:ind w:left="0"/>
        <w:jc w:val="both"/>
        <w:rPr>
          <w:rFonts w:ascii="微软雅黑" w:hAnsi="微软雅黑" w:eastAsia="微软雅黑" w:cs="微软雅黑"/>
        </w:rPr>
      </w:pPr>
    </w:p>
    <w:p>
      <w:pPr>
        <w:pStyle w:val="3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1.2授权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【功能说明】</w:t>
      </w:r>
    </w:p>
    <w:p>
      <w:pP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  <w:t>a)【后台-档案-收银机档案】增加“AI识别设备”参数，默认不勾选；</w:t>
      </w:r>
    </w:p>
    <w:p>
      <w:pP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  <w:t>b)【前台-设置-设置外接设备】增加“慧眼AI设置”按钮，需要在后台勾选“AI识别设备”才能使用【慧眼AI设置】按钮。</w:t>
      </w:r>
    </w:p>
    <w:p>
      <w:pP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  <w:t>c)在【慧眼AI设置】窗口输入激活码，设置计价秤设备即可使用AI秤功能。</w:t>
      </w:r>
    </w:p>
    <w:p>
      <w:pP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  <w:t>d)开启AI秤后前台增加显示称重信息。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2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【操作界面】</w:t>
      </w: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2"/>
          <w:u w:val="none"/>
          <w:shd w:val="clear" w:color="auto" w:fill="auto"/>
        </w:rPr>
        <w:t> 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2"/>
          <w:u w:val="none"/>
          <w:shd w:val="clear" w:color="auto" w:fill="auto"/>
        </w:rPr>
      </w:pP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drawing>
          <wp:inline distT="0" distB="0" distL="0" distR="0">
            <wp:extent cx="5760085" cy="1625600"/>
            <wp:effectExtent l="0" t="0" r="0" b="0"/>
            <wp:docPr id="5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descrip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62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t xml:space="preserve"> 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</w:p>
    <w:p>
      <w:pPr>
        <w:pBdr>
          <w:bottom w:val="none" w:color="auto" w:sz="0" w:space="0"/>
        </w:pBd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drawing>
          <wp:inline distT="0" distB="0" distL="0" distR="0">
            <wp:extent cx="5760085" cy="4154805"/>
            <wp:effectExtent l="0" t="0" r="0" b="0"/>
            <wp:docPr id="8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descrip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15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drawing>
          <wp:inline distT="0" distB="0" distL="0" distR="0">
            <wp:extent cx="5114925" cy="4429125"/>
            <wp:effectExtent l="0" t="0" r="0" b="0"/>
            <wp:docPr id="11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 descr="descrip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【操作流程】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  <w:t>选择券类别→设置好券面值及有效期→设置好开始号码及结束号码单击生成即可。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</w:rPr>
      </w:pPr>
    </w:p>
    <w:p>
      <w:pPr>
        <w:pStyle w:val="3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1.3支持硬件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【功能说明】</w:t>
      </w:r>
    </w:p>
    <w:p>
      <w:pPr>
        <w:pBdr>
          <w:bottom w:val="none" w:color="auto" w:sz="0" w:space="0"/>
        </w:pBdr>
        <w:spacing w:before="0" w:after="0" w:line="240" w:lineRule="auto"/>
        <w:ind w:left="640" w:firstLineChars="200"/>
        <w:jc w:val="left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000000"/>
          <w:spacing w:val="0"/>
          <w:sz w:val="22"/>
          <w:u w:val="none"/>
          <w:shd w:val="clear" w:color="auto" w:fill="auto"/>
        </w:rPr>
        <w:t>目前对接了御商+，智海鲸，智赢等科脉系列产品，支持市面主流品牌AI秤，下图是硬件对接列表。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</w:pPr>
      <w:r>
        <w:rPr>
          <w:rFonts w:ascii="微软雅黑" w:hAnsi="微软雅黑" w:eastAsia="微软雅黑" w:cs="微软雅黑"/>
          <w:b/>
          <w:i w:val="0"/>
          <w:strike w:val="0"/>
          <w:color w:val="0000FF"/>
          <w:spacing w:val="0"/>
          <w:sz w:val="24"/>
          <w:u w:val="none"/>
          <w:shd w:val="clear" w:color="auto" w:fill="auto"/>
        </w:rPr>
        <w:t>【操作界面】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t xml:space="preserve">           </w:t>
      </w: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drawing>
          <wp:inline distT="0" distB="0" distL="0" distR="0">
            <wp:extent cx="5760085" cy="1473835"/>
            <wp:effectExtent l="0" t="0" r="0" b="0"/>
            <wp:docPr id="14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" descr="descrip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47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t xml:space="preserve">    </w:t>
      </w: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</w:pPr>
    </w:p>
    <w:p>
      <w:pPr>
        <w:spacing w:before="0" w:after="0" w:line="240" w:lineRule="auto"/>
        <w:jc w:val="both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t xml:space="preserve">     </w:t>
      </w:r>
    </w:p>
    <w:p>
      <w:pPr>
        <w:jc w:val="center"/>
        <w:rPr>
          <w:rFonts w:ascii="微软雅黑" w:hAnsi="微软雅黑" w:eastAsia="微软雅黑" w:cs="微软雅黑"/>
        </w:rPr>
      </w:pPr>
      <w:r>
        <w:drawing>
          <wp:inline distT="0" distB="0" distL="0" distR="0">
            <wp:extent cx="1533525" cy="1504950"/>
            <wp:effectExtent l="0" t="0" r="0" b="0"/>
            <wp:docPr id="17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" descr="descript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i w:val="0"/>
          <w:strike w:val="0"/>
          <w:color w:val="000000"/>
          <w:u w:val="none"/>
        </w:rPr>
        <w:t xml:space="preserve">         </w:t>
      </w:r>
    </w:p>
    <w:p>
      <w:pPr>
        <w:spacing w:before="60" w:after="60" w:line="312" w:lineRule="auto"/>
        <w:jc w:val="center"/>
        <w:rPr>
          <w:rFonts w:ascii="微软雅黑" w:hAnsi="微软雅黑" w:eastAsia="微软雅黑" w:cs="微软雅黑"/>
          <w:sz w:val="24"/>
        </w:rPr>
      </w:pPr>
      <w:r>
        <w:rPr>
          <w:rFonts w:ascii="微软雅黑" w:hAnsi="微软雅黑" w:eastAsia="微软雅黑" w:cs="微软雅黑"/>
          <w:b w:val="0"/>
          <w:i w:val="0"/>
          <w:strike w:val="0"/>
          <w:color w:val="333333"/>
          <w:spacing w:val="0"/>
          <w:sz w:val="24"/>
          <w:u w:val="none"/>
          <w:shd w:val="clear" w:color="auto" w:fill="auto"/>
        </w:rPr>
        <w:t>微信扫一扫，关注科脉微服务</w:t>
      </w:r>
    </w:p>
    <w:p>
      <w:pPr>
        <w:snapToGrid w:val="0"/>
        <w:spacing w:line="312" w:lineRule="auto"/>
        <w:jc w:val="center"/>
      </w:pPr>
      <w:r>
        <w:rPr>
          <w:rFonts w:ascii="微软雅黑" w:hAnsi="微软雅黑" w:eastAsia="微软雅黑" w:cs="微软雅黑"/>
          <w:b w:val="0"/>
          <w:i w:val="0"/>
          <w:strike w:val="0"/>
          <w:color w:val="333333"/>
          <w:spacing w:val="0"/>
          <w:sz w:val="24"/>
          <w:u w:val="none"/>
          <w:shd w:val="clear" w:color="auto" w:fill="auto"/>
        </w:rPr>
        <w:t xml:space="preserve"> 技术问题搜索</w:t>
      </w:r>
    </w:p>
    <w:p>
      <w:pPr>
        <w:snapToGrid w:val="0"/>
        <w:spacing w:line="312" w:lineRule="auto"/>
      </w:pPr>
    </w:p>
    <w:p>
      <w:pPr>
        <w:snapToGrid w:val="0"/>
        <w:spacing w:line="312" w:lineRule="auto"/>
      </w:pPr>
    </w:p>
    <w:p>
      <w:pPr>
        <w:snapToGrid w:val="0"/>
        <w:spacing w:line="312" w:lineRule="auto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1" o:spid="_x0000_s2051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科脉" style="font-family:DengXian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0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科脉" style="font-family:DengXian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科脉" style="font-family:DengXian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kNjQzMzk5MjA5ZmZkZWEyZTcyNjA1NjRhMTQ0NzkifQ=="/>
  </w:docVars>
  <w:rsids>
    <w:rsidRoot w:val="00000000"/>
    <w:rsid w:val="084147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  <w:jc w:val="left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0" w:after="0" w:line="408" w:lineRule="auto"/>
      <w:outlineLvl w:val="1"/>
    </w:pPr>
    <w:rPr>
      <w:b/>
      <w:bCs/>
      <w:color w:val="1A1A1A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6">
    <w:name w:val="Table Grid"/>
    <w:basedOn w:val="5"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8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melo-codeblock-Base-theme-char"/>
    <w:uiPriority w:val="0"/>
    <w:rPr>
      <w:rFonts w:ascii="Monaco" w:hAnsi="Monaco" w:eastAsia="Monaco" w:cs="Monaco"/>
      <w:color w:val="000000"/>
      <w:sz w:val="21"/>
    </w:rPr>
  </w:style>
  <w:style w:type="paragraph" w:customStyle="1" w:styleId="10">
    <w:name w:val="melo-codeblock-Base-theme-para"/>
    <w:basedOn w:val="1"/>
    <w:uiPriority w:val="0"/>
    <w:pPr>
      <w:spacing w:before="0" w:after="0" w:line="360" w:lineRule="auto"/>
    </w:pPr>
    <w:rPr>
      <w:rFonts w:ascii="Monaco" w:hAnsi="Monaco" w:eastAsia="Monaco" w:cs="Monaco"/>
      <w:color w:val="000000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443</Words>
  <Characters>482</Characters>
  <TotalTime>0</TotalTime>
  <ScaleCrop>false</ScaleCrop>
  <LinksUpToDate>false</LinksUpToDate>
  <CharactersWithSpaces>541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2023-04-11T10:33:00Z</dcterms:created>
  <dc:creator>Administrator</dc:creator>
  <cp:lastModifiedBy>Administrator</cp:lastModifiedBy>
  <dcterms:modified xsi:type="dcterms:W3CDTF">2023-04-11T02:43:55Z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812A21B440144E9191BB68DA36E4CCFE</vt:lpwstr>
  </property>
</Properties>
</file>