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napToGrid w:val="0"/>
        <w:jc w:val="center"/>
        <w:rPr>
          <w:rFonts w:hint="default" w:ascii="微软雅黑" w:hAnsi="微软雅黑" w:eastAsia="微软雅黑" w:cs="微软雅黑"/>
          <w:b/>
          <w:bCs/>
          <w:color w:val="000000"/>
          <w:sz w:val="44"/>
          <w:szCs w:val="44"/>
          <w:lang w:val="en-US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44"/>
          <w:szCs w:val="44"/>
          <w:lang w:val="en-US" w:eastAsia="zh-CN"/>
        </w:rPr>
        <w:t>慧眼AI2.0对接智海鲸</w:t>
      </w:r>
    </w:p>
    <w:p>
      <w:pPr>
        <w:snapToGrid w:val="0"/>
        <w:spacing w:before="10" w:after="10" w:line="360" w:lineRule="auto"/>
        <w:rPr>
          <w:rFonts w:hint="eastAsia" w:ascii="微软雅黑" w:hAnsi="微软雅黑" w:eastAsia="微软雅黑" w:cs="微软雅黑"/>
          <w:b/>
          <w:bCs/>
          <w:color w:val="000000"/>
          <w:sz w:val="24"/>
          <w:szCs w:val="24"/>
        </w:rPr>
      </w:pPr>
    </w:p>
    <w:p>
      <w:pPr>
        <w:snapToGrid w:val="0"/>
        <w:spacing w:before="10" w:after="10" w:line="360" w:lineRule="auto"/>
        <w:rPr>
          <w:rFonts w:hint="eastAsia" w:ascii="微软雅黑" w:hAnsi="微软雅黑" w:eastAsia="微软雅黑" w:cs="微软雅黑"/>
          <w:b/>
          <w:bCs/>
          <w:color w:val="000000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24"/>
          <w:szCs w:val="24"/>
        </w:rPr>
        <w:t>适用对象：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</w:rPr>
        <w:t>科脉技术、经销商技术、终端用户</w:t>
      </w:r>
    </w:p>
    <w:p>
      <w:pPr>
        <w:snapToGrid w:val="0"/>
        <w:spacing w:before="10" w:after="10" w:line="360" w:lineRule="auto"/>
        <w:rPr>
          <w:rFonts w:hint="eastAsia" w:ascii="微软雅黑" w:hAnsi="微软雅黑" w:eastAsia="微软雅黑" w:cs="微软雅黑"/>
          <w:color w:val="000000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24"/>
          <w:szCs w:val="24"/>
        </w:rPr>
        <w:t>适用软件版本：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</w:rPr>
        <w:t>智海鲸</w:t>
      </w:r>
    </w:p>
    <w:p>
      <w:pPr>
        <w:snapToGrid w:val="0"/>
        <w:spacing w:before="10" w:after="10" w:line="360" w:lineRule="auto"/>
        <w:rPr>
          <w:rFonts w:hint="default" w:ascii="微软雅黑" w:hAnsi="微软雅黑" w:eastAsia="微软雅黑" w:cs="微软雅黑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24"/>
          <w:szCs w:val="24"/>
        </w:rPr>
        <w:t>文档应用场景：</w:t>
      </w:r>
      <w:r>
        <w:rPr>
          <w:rFonts w:hint="eastAsia" w:ascii="微软雅黑" w:hAnsi="微软雅黑" w:eastAsia="微软雅黑" w:cs="微软雅黑"/>
          <w:b w:val="0"/>
          <w:bCs w:val="0"/>
          <w:color w:val="000000"/>
          <w:sz w:val="24"/>
          <w:szCs w:val="24"/>
          <w:lang w:val="en-US" w:eastAsia="zh-CN"/>
        </w:rPr>
        <w:t>慧眼AI2.0对接智海鲸</w:t>
      </w:r>
    </w:p>
    <w:p>
      <w:pPr>
        <w:snapToGrid w:val="0"/>
        <w:spacing w:before="10" w:after="10" w:line="360" w:lineRule="auto"/>
        <w:rPr>
          <w:rFonts w:hint="default" w:ascii="微软雅黑" w:hAnsi="微软雅黑" w:eastAsia="微软雅黑" w:cs="微软雅黑"/>
          <w:color w:val="00000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24"/>
          <w:szCs w:val="24"/>
        </w:rPr>
        <w:t>文档编写目的：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</w:rPr>
        <w:t>指导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  <w:lang w:val="en-US" w:eastAsia="zh-CN"/>
        </w:rPr>
        <w:t>用户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</w:rPr>
        <w:t>在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  <w:lang w:val="en-US" w:eastAsia="zh-CN"/>
        </w:rPr>
        <w:t>智海鲸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</w:rPr>
        <w:t>产品正确使用</w:t>
      </w:r>
      <w:r>
        <w:rPr>
          <w:rFonts w:hint="eastAsia" w:ascii="微软雅黑" w:hAnsi="微软雅黑" w:eastAsia="微软雅黑" w:cs="微软雅黑"/>
          <w:b w:val="0"/>
          <w:bCs w:val="0"/>
          <w:color w:val="000000"/>
          <w:sz w:val="24"/>
          <w:szCs w:val="24"/>
          <w:lang w:val="en-US" w:eastAsia="zh-CN"/>
        </w:rPr>
        <w:t>慧眼AI2.0</w:t>
      </w:r>
    </w:p>
    <w:p>
      <w:pPr>
        <w:pStyle w:val="2"/>
        <w:snapToGrid w:val="0"/>
        <w:spacing w:before="10" w:after="10" w:line="360" w:lineRule="auto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36"/>
          <w:szCs w:val="36"/>
        </w:rPr>
        <w:t>第一章</w:t>
      </w:r>
      <w:r>
        <w:rPr>
          <w:rFonts w:hint="eastAsia" w:ascii="微软雅黑" w:hAnsi="微软雅黑" w:eastAsia="微软雅黑" w:cs="微软雅黑"/>
          <w:sz w:val="36"/>
          <w:szCs w:val="36"/>
          <w:lang w:eastAsia="zh-CN"/>
        </w:rPr>
        <w:t>：</w:t>
      </w:r>
      <w:r>
        <w:rPr>
          <w:rFonts w:hint="eastAsia" w:ascii="微软雅黑" w:hAnsi="微软雅黑" w:eastAsia="微软雅黑" w:cs="微软雅黑"/>
          <w:sz w:val="36"/>
          <w:szCs w:val="36"/>
          <w:lang w:val="en-US" w:eastAsia="zh-CN"/>
        </w:rPr>
        <w:t>覆盖慧眼AI2.0文件包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b w:val="0"/>
          <w:bCs w:val="0"/>
          <w:color w:val="000000"/>
          <w:kern w:val="2"/>
          <w:sz w:val="24"/>
          <w:szCs w:val="24"/>
          <w:lang w:val="en-US" w:eastAsia="zh-CN" w:bidi="ar-SA"/>
        </w:rPr>
        <w:t>慧眼AI2.0需要付费授权站点，获取相应站点数目激活码（联系科脉商务购买）后进入科脉经销商社区下载并解压“科脉慧眼AI2.0”文件包，将其中文件复制放到前台 POS 程序根目录下，软件试用期期间有一个站点的试用权限，详情见下图：</w:t>
      </w:r>
    </w:p>
    <w:p>
      <w:r>
        <w:drawing>
          <wp:inline distT="0" distB="0" distL="114300" distR="114300">
            <wp:extent cx="5273675" cy="2429510"/>
            <wp:effectExtent l="0" t="0" r="3175" b="8890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2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2481580"/>
            <wp:effectExtent l="0" t="0" r="10160" b="13970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8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4310" cy="3708400"/>
            <wp:effectExtent l="0" t="0" r="2540" b="635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0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2"/>
        <w:snapToGrid w:val="0"/>
        <w:spacing w:before="10" w:after="10" w:line="360" w:lineRule="auto"/>
        <w:rPr>
          <w:rFonts w:hint="default" w:ascii="微软雅黑" w:hAnsi="微软雅黑" w:eastAsia="微软雅黑" w:cs="微软雅黑"/>
          <w:sz w:val="36"/>
          <w:szCs w:val="36"/>
          <w:lang w:val="en-US" w:eastAsia="zh-CN"/>
        </w:rPr>
      </w:pPr>
      <w:r>
        <w:rPr>
          <w:rFonts w:hint="eastAsia" w:ascii="微软雅黑" w:hAnsi="微软雅黑" w:eastAsia="微软雅黑" w:cs="微软雅黑"/>
          <w:sz w:val="36"/>
          <w:szCs w:val="36"/>
        </w:rPr>
        <w:t>第二章：</w:t>
      </w:r>
      <w:r>
        <w:rPr>
          <w:rFonts w:hint="eastAsia" w:ascii="微软雅黑" w:hAnsi="微软雅黑" w:eastAsia="微软雅黑" w:cs="微软雅黑"/>
          <w:sz w:val="36"/>
          <w:szCs w:val="36"/>
          <w:lang w:val="en-US" w:eastAsia="zh-CN"/>
        </w:rPr>
        <w:t>授权使用AI识别的POS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  <w:b w:val="0"/>
          <w:bCs w:val="0"/>
          <w:color w:val="000000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b w:val="0"/>
          <w:bCs w:val="0"/>
          <w:color w:val="000000"/>
          <w:kern w:val="2"/>
          <w:sz w:val="24"/>
          <w:szCs w:val="24"/>
          <w:lang w:val="en-US" w:eastAsia="zh-CN" w:bidi="ar-SA"/>
        </w:rPr>
        <w:t>进入智海鲸后台“POS机信息”给需要的</w:t>
      </w:r>
      <w:r>
        <w:rPr>
          <w:rFonts w:hint="default" w:ascii="微软雅黑" w:hAnsi="微软雅黑" w:eastAsia="微软雅黑" w:cs="微软雅黑"/>
          <w:b w:val="0"/>
          <w:bCs w:val="0"/>
          <w:color w:val="000000"/>
          <w:kern w:val="2"/>
          <w:sz w:val="24"/>
          <w:szCs w:val="24"/>
          <w:lang w:val="en-US" w:eastAsia="zh-CN" w:bidi="ar-SA"/>
        </w:rPr>
        <w:t>POS</w:t>
      </w:r>
      <w:r>
        <w:rPr>
          <w:rFonts w:hint="eastAsia" w:ascii="微软雅黑" w:hAnsi="微软雅黑" w:eastAsia="微软雅黑" w:cs="微软雅黑"/>
          <w:b w:val="0"/>
          <w:bCs w:val="0"/>
          <w:color w:val="000000"/>
          <w:kern w:val="2"/>
          <w:sz w:val="24"/>
          <w:szCs w:val="24"/>
          <w:lang w:val="en-US" w:eastAsia="zh-CN" w:bidi="ar-SA"/>
        </w:rPr>
        <w:t>授权，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</w:rPr>
        <w:t>详情见下图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  <w:lang w:eastAsia="zh-CN"/>
        </w:rPr>
        <w:t>：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  <w:b w:val="0"/>
          <w:bCs w:val="0"/>
          <w:color w:val="000000"/>
          <w:kern w:val="2"/>
          <w:sz w:val="24"/>
          <w:szCs w:val="24"/>
          <w:lang w:val="en-US" w:eastAsia="zh-CN" w:bidi="ar-SA"/>
        </w:rPr>
      </w:pPr>
      <w:r>
        <w:drawing>
          <wp:inline distT="0" distB="0" distL="114300" distR="114300">
            <wp:extent cx="4162425" cy="1866900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before="10" w:after="10" w:line="360" w:lineRule="auto"/>
        <w:rPr>
          <w:rFonts w:hint="eastAsia" w:ascii="微软雅黑" w:hAnsi="微软雅黑" w:eastAsia="微软雅黑" w:cs="微软雅黑"/>
          <w:color w:val="000000"/>
          <w:sz w:val="24"/>
          <w:szCs w:val="24"/>
        </w:rPr>
      </w:pPr>
    </w:p>
    <w:p>
      <w:pPr>
        <w:pStyle w:val="2"/>
        <w:snapToGrid w:val="0"/>
        <w:spacing w:before="10" w:after="10" w:line="360" w:lineRule="auto"/>
        <w:rPr>
          <w:rFonts w:hint="default" w:ascii="微软雅黑" w:hAnsi="微软雅黑" w:eastAsia="微软雅黑" w:cs="微软雅黑"/>
          <w:sz w:val="36"/>
          <w:szCs w:val="36"/>
          <w:lang w:val="en-US" w:eastAsia="zh-CN"/>
        </w:rPr>
      </w:pPr>
      <w:r>
        <w:rPr>
          <w:rFonts w:hint="eastAsia" w:ascii="微软雅黑" w:hAnsi="微软雅黑" w:eastAsia="微软雅黑" w:cs="微软雅黑"/>
          <w:sz w:val="36"/>
          <w:szCs w:val="36"/>
        </w:rPr>
        <w:t>第三章：</w:t>
      </w:r>
      <w:r>
        <w:rPr>
          <w:rFonts w:hint="eastAsia" w:ascii="微软雅黑" w:hAnsi="微软雅黑" w:eastAsia="微软雅黑" w:cs="微软雅黑"/>
          <w:sz w:val="36"/>
          <w:szCs w:val="36"/>
          <w:lang w:val="en-US" w:eastAsia="zh-CN"/>
        </w:rPr>
        <w:t>激活慧眼AI2.0</w:t>
      </w:r>
    </w:p>
    <w:p>
      <w:pPr>
        <w:snapToGrid w:val="0"/>
        <w:spacing w:before="10" w:after="10" w:line="360" w:lineRule="auto"/>
        <w:rPr>
          <w:rFonts w:hint="default" w:ascii="微软雅黑" w:hAnsi="微软雅黑" w:eastAsia="微软雅黑" w:cs="微软雅黑"/>
          <w:color w:val="00000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color w:val="000000"/>
          <w:sz w:val="24"/>
          <w:szCs w:val="24"/>
          <w:lang w:val="en-US" w:eastAsia="zh-CN"/>
        </w:rPr>
        <w:t>进入智海鲸POS系统“外接设备设置</w:t>
      </w:r>
      <w:r>
        <w:rPr>
          <w:rFonts w:hint="default" w:ascii="微软雅黑" w:hAnsi="微软雅黑" w:eastAsia="微软雅黑" w:cs="微软雅黑"/>
          <w:color w:val="000000"/>
          <w:sz w:val="24"/>
          <w:szCs w:val="24"/>
          <w:lang w:val="en-US" w:eastAsia="zh-CN"/>
        </w:rPr>
        <w:t>-AI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  <w:lang w:val="en-US" w:eastAsia="zh-CN"/>
        </w:rPr>
        <w:t>设置”，录入激活码激活，详情见下图：</w:t>
      </w:r>
    </w:p>
    <w:p>
      <w:pPr>
        <w:snapToGrid w:val="0"/>
        <w:spacing w:before="10" w:after="10" w:line="360" w:lineRule="auto"/>
        <w:rPr>
          <w:rFonts w:hint="default" w:ascii="微软雅黑" w:hAnsi="微软雅黑" w:eastAsia="微软雅黑" w:cs="微软雅黑"/>
          <w:color w:val="000000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8595" cy="3951605"/>
            <wp:effectExtent l="0" t="0" r="8255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95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napToGrid w:val="0"/>
        <w:spacing w:before="10" w:after="10" w:line="360" w:lineRule="auto"/>
        <w:rPr>
          <w:rFonts w:hint="eastAsia" w:ascii="微软雅黑" w:hAnsi="微软雅黑" w:eastAsia="微软雅黑" w:cs="微软雅黑"/>
          <w:sz w:val="36"/>
          <w:szCs w:val="36"/>
          <w:lang w:val="en-US" w:eastAsia="zh-CN"/>
        </w:rPr>
      </w:pPr>
      <w:r>
        <w:rPr>
          <w:rFonts w:hint="eastAsia" w:ascii="微软雅黑" w:hAnsi="微软雅黑" w:eastAsia="微软雅黑" w:cs="微软雅黑"/>
          <w:sz w:val="36"/>
          <w:szCs w:val="36"/>
        </w:rPr>
        <w:t>第四章：</w:t>
      </w:r>
      <w:r>
        <w:rPr>
          <w:rFonts w:hint="eastAsia" w:ascii="微软雅黑" w:hAnsi="微软雅黑" w:eastAsia="微软雅黑" w:cs="微软雅黑"/>
          <w:sz w:val="36"/>
          <w:szCs w:val="36"/>
          <w:lang w:val="en-US" w:eastAsia="zh-CN"/>
        </w:rPr>
        <w:t>调整识别区域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  <w:color w:val="000000"/>
          <w:sz w:val="24"/>
          <w:szCs w:val="24"/>
          <w:lang w:eastAsia="zh-CN"/>
        </w:rPr>
      </w:pPr>
      <w:r>
        <w:rPr>
          <w:rFonts w:hint="eastAsia" w:ascii="微软雅黑" w:hAnsi="微软雅黑" w:eastAsia="微软雅黑" w:cs="微软雅黑"/>
          <w:color w:val="000000"/>
          <w:sz w:val="24"/>
          <w:szCs w:val="24"/>
          <w:lang w:val="en-US" w:eastAsia="zh-CN"/>
        </w:rPr>
        <w:t>点击“调整识别区域”，手动调整识别范围，提高识别准确率，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</w:rPr>
        <w:t>详情见下图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  <w:lang w:eastAsia="zh-CN"/>
        </w:rPr>
        <w:t>：</w:t>
      </w:r>
    </w:p>
    <w:p>
      <w:pPr>
        <w:snapToGrid w:val="0"/>
        <w:spacing w:before="10" w:after="10" w:line="360" w:lineRule="auto"/>
        <w:rPr>
          <w:rFonts w:hint="eastAsia" w:ascii="微软雅黑" w:hAnsi="微软雅黑" w:eastAsia="微软雅黑" w:cs="微软雅黑"/>
          <w:color w:val="000000"/>
          <w:sz w:val="24"/>
          <w:szCs w:val="24"/>
        </w:rPr>
      </w:pPr>
      <w:r>
        <w:drawing>
          <wp:inline distT="0" distB="0" distL="114300" distR="114300">
            <wp:extent cx="5269865" cy="4725670"/>
            <wp:effectExtent l="0" t="0" r="6985" b="1778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72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before="10" w:after="10" w:line="360" w:lineRule="auto"/>
        <w:rPr>
          <w:rFonts w:hint="eastAsia" w:ascii="微软雅黑" w:hAnsi="微软雅黑" w:eastAsia="微软雅黑" w:cs="微软雅黑"/>
          <w:color w:val="000000"/>
          <w:sz w:val="24"/>
          <w:szCs w:val="24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  <w:b/>
          <w:bCs/>
          <w:sz w:val="36"/>
          <w:szCs w:val="36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36"/>
          <w:szCs w:val="36"/>
        </w:rPr>
        <w:t>第五章：</w:t>
      </w:r>
      <w:r>
        <w:rPr>
          <w:rFonts w:hint="eastAsia" w:ascii="微软雅黑" w:hAnsi="微软雅黑" w:eastAsia="微软雅黑" w:cs="微软雅黑"/>
          <w:b/>
          <w:bCs/>
          <w:sz w:val="36"/>
          <w:szCs w:val="36"/>
          <w:lang w:val="en-US" w:eastAsia="zh-CN"/>
        </w:rPr>
        <w:t>人工识别</w:t>
      </w:r>
    </w:p>
    <w:p>
      <w:pPr>
        <w:keepNext w:val="0"/>
        <w:keepLines w:val="0"/>
        <w:widowControl/>
        <w:suppressLineNumbers w:val="0"/>
        <w:jc w:val="left"/>
        <w:rPr>
          <w:rFonts w:hint="default" w:ascii="微软雅黑" w:hAnsi="微软雅黑" w:eastAsia="微软雅黑" w:cs="微软雅黑"/>
          <w:color w:val="00000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color w:val="000000"/>
          <w:sz w:val="24"/>
          <w:szCs w:val="24"/>
          <w:lang w:val="en-US" w:eastAsia="zh-CN"/>
        </w:rPr>
        <w:t>进入销售界面，识别秤上商品，无法识别的点人工识别，选择对应的商品，直到可以自动识别为止，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</w:rPr>
        <w:t>详情见下图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  <w:lang w:eastAsia="zh-CN"/>
        </w:rPr>
        <w:t>：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  <w:color w:val="00000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9230" cy="2477770"/>
            <wp:effectExtent l="0" t="0" r="7620" b="1778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7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/>
          <w:bCs/>
          <w:sz w:val="36"/>
          <w:szCs w:val="36"/>
          <w:lang w:val="en-US" w:eastAsia="zh-CN"/>
        </w:rPr>
      </w:pPr>
    </w:p>
    <w:p>
      <w:pPr>
        <w:snapToGrid w:val="0"/>
        <w:rPr>
          <w:rFonts w:hint="default" w:ascii="微软雅黑" w:hAnsi="微软雅黑" w:eastAsia="微软雅黑" w:cs="微软雅黑"/>
          <w:sz w:val="24"/>
          <w:szCs w:val="24"/>
          <w:lang w:val="en-US" w:eastAsia="zh-CN"/>
        </w:rPr>
      </w:pPr>
    </w:p>
    <w:p>
      <w:pPr>
        <w:snapToGrid w:val="0"/>
        <w:rPr>
          <w:rFonts w:hint="eastAsia" w:ascii="微软雅黑" w:hAnsi="微软雅黑" w:eastAsia="微软雅黑" w:cs="微软雅黑"/>
          <w:color w:val="000000"/>
          <w:szCs w:val="21"/>
        </w:rPr>
      </w:pPr>
    </w:p>
    <w:p>
      <w:pPr>
        <w:snapToGrid w:val="0"/>
        <w:spacing w:before="10" w:after="10" w:line="360" w:lineRule="auto"/>
        <w:jc w:val="center"/>
        <w:rPr>
          <w:rFonts w:hint="eastAsia" w:ascii="微软雅黑" w:hAnsi="微软雅黑" w:eastAsia="微软雅黑" w:cs="微软雅黑"/>
          <w:color w:val="000000"/>
          <w:sz w:val="24"/>
          <w:szCs w:val="24"/>
        </w:rPr>
      </w:pPr>
      <w:r>
        <w:rPr>
          <w:rFonts w:hint="eastAsia" w:ascii="微软雅黑" w:hAnsi="微软雅黑" w:eastAsia="微软雅黑" w:cs="微软雅黑"/>
          <w:color w:val="000000"/>
          <w:sz w:val="24"/>
          <w:szCs w:val="24"/>
        </w:rPr>
        <w:drawing>
          <wp:inline distT="0" distB="0" distL="0" distR="0">
            <wp:extent cx="1533525" cy="15049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 w:val="0"/>
        <w:spacing w:before="10" w:after="10" w:line="360" w:lineRule="auto"/>
        <w:jc w:val="center"/>
        <w:rPr>
          <w:rFonts w:hint="eastAsia" w:ascii="微软雅黑" w:hAnsi="微软雅黑" w:eastAsia="微软雅黑" w:cs="微软雅黑"/>
          <w:b/>
          <w:bCs/>
          <w:color w:val="000000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24"/>
          <w:szCs w:val="24"/>
        </w:rPr>
        <w:t>微信扫一扫，关注科脉微服务</w:t>
      </w:r>
    </w:p>
    <w:p>
      <w:pPr>
        <w:snapToGrid w:val="0"/>
        <w:spacing w:before="10" w:after="10" w:line="360" w:lineRule="auto"/>
        <w:jc w:val="center"/>
        <w:rPr>
          <w:rFonts w:hint="eastAsia" w:ascii="微软雅黑" w:hAnsi="微软雅黑" w:eastAsia="微软雅黑" w:cs="微软雅黑"/>
          <w:b/>
          <w:bCs/>
          <w:color w:val="000000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24"/>
          <w:szCs w:val="24"/>
        </w:rPr>
        <w:t>技术问题搜索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napToGrid w:val="0"/>
      <w:jc w:val="left"/>
      <w:rPr>
        <w:rFonts w:ascii="宋体" w:hAnsi="宋体" w:eastAsia="宋体"/>
        <w:color w:val="000000"/>
        <w:sz w:val="18"/>
        <w:szCs w:val="18"/>
      </w:rPr>
    </w:pPr>
    <w:r>
      <w:drawing>
        <wp:inline distT="0" distB="0" distL="0" distR="0">
          <wp:extent cx="5267325" cy="676275"/>
          <wp:effectExtent l="0" t="0" r="0" b="0"/>
          <wp:docPr id="7" name="图片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67325" cy="6762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sdt>
      <w:sdtPr>
        <w:id w:val="-1589924921"/>
        <w:lock w:val="sdtContentLocked"/>
        <w:docPartObj>
          <w:docPartGallery w:val="autotext"/>
        </w:docPartObj>
      </w:sdtPr>
      <w:sdtContent>
        <w:r>
          <w:rPr>
            <w:lang w:eastAsia="zh-TW"/>
          </w:rPr>
          <w:pict>
            <v:shape id="PowerPlusWaterMarkObject357476642" o:spid="_x0000_s1025" o:spt="136" type="#_x0000_t136" style="position:absolute;left:0pt;height:131.95pt;width:527.85pt;mso-position-horizontal:center;mso-position-horizontal-relative:margin;mso-position-vertical:center;mso-position-vertical-relative:margin;rotation:20643840f;z-index:-251657216;mso-width-relative:page;mso-height-relative:page;" fillcolor="#C0C0C0" filled="t" stroked="f" coordsize="21600,21600" o:allowincell="f">
              <v:path/>
              <v:fill on="t" opacity="32768f" focussize="0,0"/>
              <v:stroke on="f"/>
              <v:imagedata o:title=""/>
              <o:lock v:ext="edit"/>
              <v:textpath on="t" fitshape="t" fitpath="t" trim="f" xscale="f" string="科脉" style="font-family:微软雅黑;font-size:1pt;v-text-align:center;"/>
            </v:shape>
          </w:pict>
        </w:r>
      </w:sdtContent>
    </w:sdt>
  </w:p>
  <w:p/>
  <w:p>
    <w:pPr>
      <w:snapToGrid w:val="0"/>
      <w:jc w:val="center"/>
      <w:rPr>
        <w:rFonts w:ascii="宋体" w:hAnsi="宋体" w:eastAsia="宋体"/>
        <w:color w:val="000000"/>
        <w:sz w:val="18"/>
        <w:szCs w:val="18"/>
      </w:rPr>
    </w:pPr>
    <w:r>
      <w:drawing>
        <wp:inline distT="0" distB="0" distL="0" distR="0">
          <wp:extent cx="5267325" cy="571500"/>
          <wp:effectExtent l="0" t="0" r="0" b="0"/>
          <wp:docPr id="6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67325" cy="5715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80"/>
  <w:displayBackgroundShape w:val="1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mYxNjAwNWI1ZjY4ODU3NThkZWQ2Y2UwYjZjZjBlNDkifQ=="/>
  </w:docVars>
  <w:rsids>
    <w:rsidRoot w:val="00BA0C1A"/>
    <w:rsid w:val="000C51B7"/>
    <w:rsid w:val="00216EB9"/>
    <w:rsid w:val="003D7CA6"/>
    <w:rsid w:val="00494D33"/>
    <w:rsid w:val="00547A95"/>
    <w:rsid w:val="0059531B"/>
    <w:rsid w:val="00616505"/>
    <w:rsid w:val="0062213C"/>
    <w:rsid w:val="00633F40"/>
    <w:rsid w:val="006549AD"/>
    <w:rsid w:val="00684D9C"/>
    <w:rsid w:val="00A60633"/>
    <w:rsid w:val="00AF04B6"/>
    <w:rsid w:val="00BA0C1A"/>
    <w:rsid w:val="00C061CB"/>
    <w:rsid w:val="00C604EC"/>
    <w:rsid w:val="00C9744C"/>
    <w:rsid w:val="00CF0106"/>
    <w:rsid w:val="00E26251"/>
    <w:rsid w:val="00EA1EE8"/>
    <w:rsid w:val="00F53662"/>
    <w:rsid w:val="00FD6D6C"/>
    <w:rsid w:val="083D07F0"/>
    <w:rsid w:val="085E1E1B"/>
    <w:rsid w:val="105E3B74"/>
    <w:rsid w:val="126E5877"/>
    <w:rsid w:val="1C2C4424"/>
    <w:rsid w:val="1CD54CE6"/>
    <w:rsid w:val="1DEC38DC"/>
    <w:rsid w:val="24942439"/>
    <w:rsid w:val="2C1A76C8"/>
    <w:rsid w:val="30456175"/>
    <w:rsid w:val="36772279"/>
    <w:rsid w:val="3EBB19E4"/>
    <w:rsid w:val="42CB7920"/>
    <w:rsid w:val="434067C1"/>
    <w:rsid w:val="4E372A67"/>
    <w:rsid w:val="4FC4044E"/>
    <w:rsid w:val="50CD4901"/>
    <w:rsid w:val="568D20C3"/>
    <w:rsid w:val="59883A85"/>
    <w:rsid w:val="5B2F01EA"/>
    <w:rsid w:val="5DC52DD1"/>
    <w:rsid w:val="60B847DE"/>
    <w:rsid w:val="6582360D"/>
    <w:rsid w:val="6A9C13A8"/>
    <w:rsid w:val="6D6C05C8"/>
    <w:rsid w:val="6EAF13B0"/>
    <w:rsid w:val="703B6CD7"/>
    <w:rsid w:val="71061E72"/>
    <w:rsid w:val="78940305"/>
    <w:rsid w:val="7A3B2499"/>
    <w:rsid w:val="7C8D49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240" w:after="240" w:line="408" w:lineRule="auto"/>
      <w:jc w:val="left"/>
      <w:outlineLvl w:val="0"/>
    </w:pPr>
    <w:rPr>
      <w:b/>
      <w:bCs/>
      <w:color w:val="000000"/>
      <w:kern w:val="44"/>
      <w:sz w:val="44"/>
      <w:szCs w:val="44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4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3"/>
    <w:semiHidden/>
    <w:qFormat/>
    <w:uiPriority w:val="99"/>
    <w:rPr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2.xml"/><Relationship Id="rId14" Type="http://schemas.openxmlformats.org/officeDocument/2006/relationships/customXml" Target="../customXml/item1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</customShpExts>
</s:customData>
</file>

<file path=customXml/item2.xml><?xml version="1.0" encoding="utf-8"?>
<b:Sourc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s="http://schemas.microsoft.com/office/word/2010/wordprocessingShape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SelectedStyle="\APASixthEditionOfficeOnline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19BC990-40FD-42B6-B8DA-69B41A76D25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5</Pages>
  <Words>395</Words>
  <Characters>436</Characters>
  <Lines>3</Lines>
  <Paragraphs>1</Paragraphs>
  <TotalTime>1</TotalTime>
  <ScaleCrop>false</ScaleCrop>
  <LinksUpToDate>false</LinksUpToDate>
  <CharactersWithSpaces>438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2022-01-19T07:51:00Z</dcterms:created>
  <dc:creator>Tencent</dc:creator>
  <cp:lastModifiedBy>frozen sunshine</cp:lastModifiedBy>
  <dcterms:modified xsi:type="dcterms:W3CDTF">2023-04-11T02:42:41Z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3DEC80907A0D46CAB05DD5C4BE7D7E9C</vt:lpwstr>
  </property>
</Properties>
</file>