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napToGrid w:val="0"/>
        <w:jc w:val="center"/>
        <w:rPr>
          <w:rFonts w:hint="default" w:ascii="微软雅黑" w:hAnsi="微软雅黑" w:eastAsia="微软雅黑" w:cs="微软雅黑"/>
          <w:b/>
          <w:bCs/>
          <w:color w:val="000000"/>
          <w:sz w:val="44"/>
          <w:szCs w:val="44"/>
          <w:lang w:val="en-US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44"/>
          <w:szCs w:val="44"/>
          <w:lang w:val="en-US" w:eastAsia="zh-CN"/>
        </w:rPr>
        <w:t>慧眼AI2.0对接智赢10.6</w:t>
      </w:r>
    </w:p>
    <w:p>
      <w:pPr>
        <w:snapToGrid w:val="0"/>
        <w:spacing w:before="10" w:after="10" w:line="360" w:lineRule="auto"/>
        <w:rPr>
          <w:rFonts w:hint="eastAsia" w:ascii="微软雅黑" w:hAnsi="微软雅黑" w:eastAsia="微软雅黑" w:cs="微软雅黑"/>
          <w:b/>
          <w:bCs/>
          <w:color w:val="000000"/>
          <w:sz w:val="24"/>
          <w:szCs w:val="24"/>
        </w:rPr>
      </w:pPr>
    </w:p>
    <w:p>
      <w:pPr>
        <w:snapToGrid w:val="0"/>
        <w:spacing w:before="10" w:after="10" w:line="360" w:lineRule="auto"/>
        <w:rPr>
          <w:rFonts w:hint="eastAsia" w:ascii="微软雅黑" w:hAnsi="微软雅黑" w:eastAsia="微软雅黑" w:cs="微软雅黑"/>
          <w:b/>
          <w:bCs/>
          <w:color w:val="000000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24"/>
          <w:szCs w:val="24"/>
        </w:rPr>
        <w:t>适用对象：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</w:rPr>
        <w:t>科脉技术、经销商技术、终端用户</w:t>
      </w:r>
    </w:p>
    <w:p>
      <w:pPr>
        <w:snapToGrid w:val="0"/>
        <w:spacing w:before="10" w:after="10" w:line="360" w:lineRule="auto"/>
        <w:rPr>
          <w:rFonts w:hint="default" w:ascii="微软雅黑" w:hAnsi="微软雅黑" w:eastAsia="微软雅黑" w:cs="微软雅黑"/>
          <w:color w:val="00000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24"/>
          <w:szCs w:val="24"/>
        </w:rPr>
        <w:t>适用软件版本：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  <w:lang w:val="en-US" w:eastAsia="zh-CN"/>
        </w:rPr>
        <w:t>智赢10.6</w:t>
      </w:r>
    </w:p>
    <w:p>
      <w:pPr>
        <w:snapToGrid w:val="0"/>
        <w:spacing w:before="10" w:after="10" w:line="360" w:lineRule="auto"/>
        <w:rPr>
          <w:rFonts w:hint="default" w:ascii="微软雅黑" w:hAnsi="微软雅黑" w:eastAsia="微软雅黑" w:cs="微软雅黑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24"/>
          <w:szCs w:val="24"/>
        </w:rPr>
        <w:t>文档应用场景：</w:t>
      </w:r>
      <w:r>
        <w:rPr>
          <w:rFonts w:hint="eastAsia" w:ascii="微软雅黑" w:hAnsi="微软雅黑" w:eastAsia="微软雅黑" w:cs="微软雅黑"/>
          <w:b w:val="0"/>
          <w:bCs w:val="0"/>
          <w:color w:val="000000"/>
          <w:sz w:val="24"/>
          <w:szCs w:val="24"/>
          <w:lang w:val="en-US" w:eastAsia="zh-CN"/>
        </w:rPr>
        <w:t>慧眼AI2.0对接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  <w:lang w:val="en-US" w:eastAsia="zh-CN"/>
        </w:rPr>
        <w:t>智赢10.6</w:t>
      </w:r>
    </w:p>
    <w:p>
      <w:pPr>
        <w:snapToGrid w:val="0"/>
        <w:spacing w:before="10" w:after="10" w:line="360" w:lineRule="auto"/>
        <w:rPr>
          <w:rFonts w:hint="default" w:ascii="微软雅黑" w:hAnsi="微软雅黑" w:eastAsia="微软雅黑" w:cs="微软雅黑"/>
          <w:color w:val="00000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24"/>
          <w:szCs w:val="24"/>
        </w:rPr>
        <w:t>文档编写目的：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</w:rPr>
        <w:t>指导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  <w:lang w:val="en-US" w:eastAsia="zh-CN"/>
        </w:rPr>
        <w:t>用户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</w:rPr>
        <w:t>在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  <w:lang w:val="en-US" w:eastAsia="zh-CN"/>
        </w:rPr>
        <w:t>智赢10.6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</w:rPr>
        <w:t>产品正确使用</w:t>
      </w:r>
      <w:r>
        <w:rPr>
          <w:rFonts w:hint="eastAsia" w:ascii="微软雅黑" w:hAnsi="微软雅黑" w:eastAsia="微软雅黑" w:cs="微软雅黑"/>
          <w:b w:val="0"/>
          <w:bCs w:val="0"/>
          <w:color w:val="000000"/>
          <w:sz w:val="24"/>
          <w:szCs w:val="24"/>
          <w:lang w:val="en-US" w:eastAsia="zh-CN"/>
        </w:rPr>
        <w:t>慧眼AI2.0</w:t>
      </w:r>
    </w:p>
    <w:p>
      <w:pPr>
        <w:pStyle w:val="2"/>
        <w:snapToGrid w:val="0"/>
        <w:spacing w:before="10" w:after="10" w:line="360" w:lineRule="auto"/>
        <w:rPr>
          <w:rFonts w:hint="eastAsia" w:ascii="微软雅黑" w:hAnsi="微软雅黑" w:eastAsia="微软雅黑" w:cs="微软雅黑"/>
          <w:b w:val="0"/>
          <w:bCs w:val="0"/>
          <w:color w:val="000000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sz w:val="36"/>
          <w:szCs w:val="36"/>
        </w:rPr>
        <w:t>第一章</w:t>
      </w:r>
      <w:r>
        <w:rPr>
          <w:rFonts w:hint="eastAsia" w:ascii="微软雅黑" w:hAnsi="微软雅黑" w:eastAsia="微软雅黑" w:cs="微软雅黑"/>
          <w:sz w:val="36"/>
          <w:szCs w:val="36"/>
          <w:lang w:eastAsia="zh-CN"/>
        </w:rPr>
        <w:t>：</w:t>
      </w:r>
      <w:r>
        <w:rPr>
          <w:rFonts w:hint="eastAsia" w:ascii="微软雅黑" w:hAnsi="微软雅黑" w:eastAsia="微软雅黑" w:cs="微软雅黑"/>
          <w:sz w:val="36"/>
          <w:szCs w:val="36"/>
          <w:lang w:val="en-US" w:eastAsia="zh-CN"/>
        </w:rPr>
        <w:t>覆盖慧眼AI2.0文件包</w:t>
      </w:r>
      <w:r>
        <w:rPr>
          <w:rFonts w:hint="eastAsia" w:ascii="微软雅黑" w:hAnsi="微软雅黑" w:eastAsia="微软雅黑" w:cs="微软雅黑"/>
          <w:sz w:val="24"/>
          <w:szCs w:val="24"/>
          <w:lang w:val="en-US" w:eastAsia="zh-CN"/>
        </w:rPr>
        <w:br w:type="textWrapping"/>
      </w:r>
      <w:r>
        <w:rPr>
          <w:rFonts w:hint="eastAsia" w:ascii="微软雅黑" w:hAnsi="微软雅黑" w:eastAsia="微软雅黑" w:cs="微软雅黑"/>
          <w:b w:val="0"/>
          <w:bCs w:val="0"/>
          <w:color w:val="000000"/>
          <w:kern w:val="2"/>
          <w:sz w:val="24"/>
          <w:szCs w:val="24"/>
          <w:lang w:val="en-US" w:eastAsia="zh-CN" w:bidi="ar-SA"/>
        </w:rPr>
        <w:t>慧眼AI2.0需要付费授权站点，获取相应站点数目激活码（联系科脉商务购买）后进入科脉经销商社区下载并解压“科脉慧眼AI2.0”文件包，将其中</w:t>
      </w:r>
      <w:r>
        <w:rPr>
          <w:rFonts w:hint="eastAsia" w:ascii="微软雅黑" w:hAnsi="微软雅黑" w:eastAsia="微软雅黑" w:cs="微软雅黑"/>
          <w:b w:val="0"/>
          <w:bCs w:val="0"/>
          <w:color w:val="FF0000"/>
          <w:kern w:val="2"/>
          <w:sz w:val="24"/>
          <w:szCs w:val="24"/>
          <w:lang w:val="en-US" w:eastAsia="zh-CN" w:bidi="ar-SA"/>
        </w:rPr>
        <w:t>全部文件</w:t>
      </w:r>
      <w:r>
        <w:rPr>
          <w:rFonts w:hint="eastAsia" w:ascii="微软雅黑" w:hAnsi="微软雅黑" w:eastAsia="微软雅黑" w:cs="微软雅黑"/>
          <w:b w:val="0"/>
          <w:bCs w:val="0"/>
          <w:color w:val="000000"/>
          <w:kern w:val="2"/>
          <w:sz w:val="24"/>
          <w:szCs w:val="24"/>
          <w:lang w:val="en-US" w:eastAsia="zh-CN" w:bidi="ar-SA"/>
        </w:rPr>
        <w:t>复制放到前台 POS 程序根目录下，软件试用期期间有一个站点的试用权限，详情见下图：</w:t>
      </w:r>
      <w:r>
        <w:drawing>
          <wp:inline distT="0" distB="0" distL="114300" distR="114300">
            <wp:extent cx="5273675" cy="2429510"/>
            <wp:effectExtent l="0" t="0" r="3175" b="8890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2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481580"/>
            <wp:effectExtent l="0" t="0" r="10160" b="13970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8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2489835"/>
            <wp:effectExtent l="0" t="0" r="8255" b="5715"/>
            <wp:docPr id="4" name="图片 4" descr="慧眼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慧眼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8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snapToGrid w:val="0"/>
        <w:spacing w:before="10" w:after="10" w:line="360" w:lineRule="auto"/>
        <w:rPr>
          <w:rFonts w:hint="default" w:ascii="微软雅黑" w:hAnsi="微软雅黑" w:eastAsia="微软雅黑" w:cs="微软雅黑"/>
          <w:sz w:val="36"/>
          <w:szCs w:val="36"/>
          <w:lang w:val="en-US" w:eastAsia="zh-CN"/>
        </w:rPr>
      </w:pPr>
      <w:r>
        <w:rPr>
          <w:rFonts w:hint="eastAsia" w:ascii="微软雅黑" w:hAnsi="微软雅黑" w:eastAsia="微软雅黑" w:cs="微软雅黑"/>
          <w:sz w:val="36"/>
          <w:szCs w:val="36"/>
        </w:rPr>
        <w:t>第二章：</w:t>
      </w:r>
      <w:r>
        <w:rPr>
          <w:rFonts w:hint="eastAsia" w:ascii="微软雅黑" w:hAnsi="微软雅黑" w:eastAsia="微软雅黑" w:cs="微软雅黑"/>
          <w:sz w:val="36"/>
          <w:szCs w:val="36"/>
          <w:lang w:val="en-US" w:eastAsia="zh-CN"/>
        </w:rPr>
        <w:t>授权使用AI识别的POS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  <w:b w:val="0"/>
          <w:bCs w:val="0"/>
          <w:color w:val="000000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b w:val="0"/>
          <w:bCs w:val="0"/>
          <w:color w:val="000000"/>
          <w:kern w:val="2"/>
          <w:sz w:val="24"/>
          <w:szCs w:val="24"/>
          <w:lang w:val="en-US" w:eastAsia="zh-CN" w:bidi="ar-SA"/>
        </w:rPr>
        <w:t>进入智赢10.6后台--档案管理--收银机档案给需要的</w:t>
      </w:r>
      <w:r>
        <w:rPr>
          <w:rFonts w:hint="default" w:ascii="微软雅黑" w:hAnsi="微软雅黑" w:eastAsia="微软雅黑" w:cs="微软雅黑"/>
          <w:b w:val="0"/>
          <w:bCs w:val="0"/>
          <w:color w:val="000000"/>
          <w:kern w:val="2"/>
          <w:sz w:val="24"/>
          <w:szCs w:val="24"/>
          <w:lang w:val="en-US" w:eastAsia="zh-CN" w:bidi="ar-SA"/>
        </w:rPr>
        <w:t>POS</w:t>
      </w:r>
      <w:r>
        <w:rPr>
          <w:rFonts w:hint="eastAsia" w:ascii="微软雅黑" w:hAnsi="微软雅黑" w:eastAsia="微软雅黑" w:cs="微软雅黑"/>
          <w:b w:val="0"/>
          <w:bCs w:val="0"/>
          <w:color w:val="000000"/>
          <w:kern w:val="2"/>
          <w:sz w:val="24"/>
          <w:szCs w:val="24"/>
          <w:lang w:val="en-US" w:eastAsia="zh-CN" w:bidi="ar-SA"/>
        </w:rPr>
        <w:t>授权，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</w:rPr>
        <w:t>详情见下图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  <w:lang w:eastAsia="zh-CN"/>
        </w:rPr>
        <w:t>：</w:t>
      </w:r>
    </w:p>
    <w:p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5263515" cy="2857500"/>
            <wp:effectExtent l="0" t="0" r="13335" b="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5264150" cy="2825750"/>
            <wp:effectExtent l="0" t="0" r="12700" b="1270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82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before="10" w:after="10" w:line="360" w:lineRule="auto"/>
        <w:rPr>
          <w:rFonts w:hint="eastAsia" w:ascii="微软雅黑" w:hAnsi="微软雅黑" w:eastAsia="微软雅黑" w:cs="微软雅黑"/>
          <w:color w:val="000000"/>
          <w:sz w:val="24"/>
          <w:szCs w:val="24"/>
        </w:rPr>
      </w:pPr>
    </w:p>
    <w:p>
      <w:pPr>
        <w:pStyle w:val="2"/>
        <w:snapToGrid w:val="0"/>
        <w:spacing w:before="10" w:after="10" w:line="360" w:lineRule="auto"/>
        <w:rPr>
          <w:rFonts w:hint="default" w:ascii="微软雅黑" w:hAnsi="微软雅黑" w:eastAsia="微软雅黑" w:cs="微软雅黑"/>
          <w:sz w:val="36"/>
          <w:szCs w:val="36"/>
          <w:lang w:val="en-US" w:eastAsia="zh-CN"/>
        </w:rPr>
      </w:pPr>
      <w:r>
        <w:rPr>
          <w:rFonts w:hint="eastAsia" w:ascii="微软雅黑" w:hAnsi="微软雅黑" w:eastAsia="微软雅黑" w:cs="微软雅黑"/>
          <w:sz w:val="36"/>
          <w:szCs w:val="36"/>
        </w:rPr>
        <w:t>第三章：</w:t>
      </w:r>
      <w:r>
        <w:rPr>
          <w:rFonts w:hint="eastAsia" w:ascii="微软雅黑" w:hAnsi="微软雅黑" w:eastAsia="微软雅黑" w:cs="微软雅黑"/>
          <w:sz w:val="36"/>
          <w:szCs w:val="36"/>
          <w:lang w:val="en-US" w:eastAsia="zh-CN"/>
        </w:rPr>
        <w:t>激活慧眼AI2.0</w:t>
      </w:r>
    </w:p>
    <w:p>
      <w:pPr>
        <w:snapToGrid w:val="0"/>
        <w:spacing w:before="10" w:after="10" w:line="360" w:lineRule="auto"/>
        <w:rPr>
          <w:rFonts w:hint="eastAsia" w:ascii="微软雅黑" w:hAnsi="微软雅黑" w:eastAsia="微软雅黑" w:cs="微软雅黑"/>
          <w:color w:val="00000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color w:val="000000"/>
          <w:sz w:val="24"/>
          <w:szCs w:val="24"/>
          <w:lang w:val="en-US" w:eastAsia="zh-CN"/>
        </w:rPr>
        <w:t>进入智赢10.6前台POS系统--外接设备设置--慧眼</w:t>
      </w:r>
      <w:r>
        <w:rPr>
          <w:rFonts w:hint="default" w:ascii="微软雅黑" w:hAnsi="微软雅黑" w:eastAsia="微软雅黑" w:cs="微软雅黑"/>
          <w:color w:val="000000"/>
          <w:sz w:val="24"/>
          <w:szCs w:val="24"/>
          <w:lang w:val="en-US" w:eastAsia="zh-CN"/>
        </w:rPr>
        <w:t>AI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  <w:lang w:val="en-US" w:eastAsia="zh-CN"/>
        </w:rPr>
        <w:t>设置，录入激活码点击激活，详情见下图：</w:t>
      </w:r>
    </w:p>
    <w:p>
      <w:pPr>
        <w:snapToGrid w:val="0"/>
        <w:spacing w:before="10" w:after="10" w:line="360" w:lineRule="auto"/>
      </w:pPr>
      <w:r>
        <w:drawing>
          <wp:inline distT="0" distB="0" distL="114300" distR="114300">
            <wp:extent cx="5270500" cy="3907155"/>
            <wp:effectExtent l="0" t="0" r="6350" b="17145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0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before="10" w:after="10" w:line="360" w:lineRule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274310" cy="4319905"/>
            <wp:effectExtent l="0" t="0" r="2540" b="4445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before="10" w:after="10" w:line="360" w:lineRule="auto"/>
        <w:rPr>
          <w:rFonts w:hint="default" w:ascii="微软雅黑" w:hAnsi="微软雅黑" w:eastAsia="微软雅黑" w:cs="微软雅黑"/>
          <w:color w:val="000000"/>
          <w:sz w:val="32"/>
          <w:szCs w:val="32"/>
          <w:lang w:val="en-US" w:eastAsia="zh-CN"/>
        </w:rPr>
      </w:pPr>
    </w:p>
    <w:p>
      <w:pPr>
        <w:pStyle w:val="2"/>
        <w:snapToGrid w:val="0"/>
        <w:spacing w:before="10" w:after="10" w:line="360" w:lineRule="auto"/>
        <w:rPr>
          <w:rFonts w:hint="eastAsia" w:ascii="微软雅黑" w:hAnsi="微软雅黑" w:eastAsia="微软雅黑" w:cs="微软雅黑"/>
          <w:sz w:val="36"/>
          <w:szCs w:val="36"/>
          <w:lang w:val="en-US" w:eastAsia="zh-CN"/>
        </w:rPr>
      </w:pPr>
      <w:r>
        <w:rPr>
          <w:rFonts w:hint="eastAsia" w:ascii="微软雅黑" w:hAnsi="微软雅黑" w:eastAsia="微软雅黑" w:cs="微软雅黑"/>
          <w:sz w:val="36"/>
          <w:szCs w:val="36"/>
        </w:rPr>
        <w:t>第四章：</w:t>
      </w:r>
      <w:r>
        <w:rPr>
          <w:rFonts w:hint="eastAsia" w:ascii="微软雅黑" w:hAnsi="微软雅黑" w:eastAsia="微软雅黑" w:cs="微软雅黑"/>
          <w:sz w:val="36"/>
          <w:szCs w:val="36"/>
          <w:lang w:val="en-US" w:eastAsia="zh-CN"/>
        </w:rPr>
        <w:t>调整识别区域</w:t>
      </w:r>
    </w:p>
    <w:p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50" w:beforeAutospacing="0" w:after="0" w:afterAutospacing="0"/>
        <w:ind w:left="0" w:right="0" w:firstLine="0"/>
        <w:jc w:val="left"/>
        <w:rPr>
          <w:rFonts w:hint="eastAsia" w:ascii="微软雅黑" w:hAnsi="微软雅黑" w:eastAsia="微软雅黑" w:cs="微软雅黑"/>
          <w:color w:val="000000"/>
          <w:sz w:val="24"/>
          <w:szCs w:val="24"/>
          <w:lang w:eastAsia="zh-CN"/>
        </w:rPr>
      </w:pPr>
      <w:r>
        <w:rPr>
          <w:rFonts w:hint="eastAsia" w:ascii="微软雅黑" w:hAnsi="微软雅黑" w:eastAsia="微软雅黑" w:cs="微软雅黑"/>
          <w:color w:val="000000"/>
          <w:sz w:val="24"/>
          <w:szCs w:val="24"/>
          <w:lang w:val="en-US" w:eastAsia="zh-CN"/>
        </w:rPr>
        <w:t>点击“调整识别区域”，手动调整识别范围，提高识别准确率，</w:t>
      </w:r>
      <w:r>
        <w:rPr>
          <w:rFonts w:hint="default" w:ascii="微软雅黑" w:hAnsi="微软雅黑" w:eastAsia="微软雅黑" w:cs="微软雅黑"/>
          <w:color w:val="000000"/>
          <w:sz w:val="24"/>
          <w:szCs w:val="24"/>
          <w:lang w:val="en-US" w:eastAsia="zh-CN"/>
        </w:rPr>
        <w:t>应尽可能让绿色矩形框包含整个秤盘区域，同时，尽量减少无关区域被拍到，有利于提高商品识别准确性。拍照区域为最大不超过640*480的矩形区域，拖拽区域的四个角可以进行大小调整，但调整区域始终会控制在4：3的宽高比例。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</w:rPr>
        <w:t>详情见下图</w:t>
      </w:r>
      <w:r>
        <w:rPr>
          <w:rFonts w:hint="eastAsia" w:ascii="微软雅黑" w:hAnsi="微软雅黑" w:eastAsia="微软雅黑" w:cs="微软雅黑"/>
          <w:color w:val="000000"/>
          <w:sz w:val="24"/>
          <w:szCs w:val="24"/>
          <w:lang w:eastAsia="zh-CN"/>
        </w:rPr>
        <w:t>：</w:t>
      </w:r>
    </w:p>
    <w:p>
      <w:pPr>
        <w:snapToGrid w:val="0"/>
        <w:spacing w:before="10" w:after="10" w:line="360" w:lineRule="auto"/>
      </w:pPr>
      <w:r>
        <w:drawing>
          <wp:inline distT="0" distB="0" distL="114300" distR="114300">
            <wp:extent cx="5269865" cy="4725670"/>
            <wp:effectExtent l="0" t="0" r="6985" b="1778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72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  <w:rPr>
          <w:rFonts w:hint="default" w:ascii="微软雅黑" w:hAnsi="微软雅黑" w:eastAsia="微软雅黑" w:cs="微软雅黑"/>
          <w:b/>
          <w:bCs/>
          <w:sz w:val="36"/>
          <w:szCs w:val="36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36"/>
          <w:szCs w:val="36"/>
        </w:rPr>
        <w:t>第</w:t>
      </w:r>
      <w:r>
        <w:rPr>
          <w:rFonts w:hint="eastAsia" w:ascii="微软雅黑" w:hAnsi="微软雅黑" w:eastAsia="微软雅黑" w:cs="微软雅黑"/>
          <w:b/>
          <w:bCs/>
          <w:sz w:val="36"/>
          <w:szCs w:val="36"/>
          <w:lang w:val="en-US" w:eastAsia="zh-CN"/>
        </w:rPr>
        <w:t>五</w:t>
      </w:r>
      <w:r>
        <w:rPr>
          <w:rFonts w:hint="eastAsia" w:ascii="微软雅黑" w:hAnsi="微软雅黑" w:eastAsia="微软雅黑" w:cs="微软雅黑"/>
          <w:b/>
          <w:bCs/>
          <w:sz w:val="36"/>
          <w:szCs w:val="36"/>
        </w:rPr>
        <w:t>章：</w:t>
      </w:r>
      <w:r>
        <w:rPr>
          <w:rFonts w:hint="eastAsia" w:ascii="微软雅黑" w:hAnsi="微软雅黑" w:eastAsia="微软雅黑" w:cs="微软雅黑"/>
          <w:b/>
          <w:bCs/>
          <w:sz w:val="36"/>
          <w:szCs w:val="36"/>
          <w:lang w:val="en-US" w:eastAsia="zh-CN"/>
        </w:rPr>
        <w:t>识别训练</w:t>
      </w:r>
    </w:p>
    <w:p>
      <w:pPr>
        <w:keepNext w:val="0"/>
        <w:keepLines w:val="0"/>
        <w:widowControl/>
        <w:suppressLineNumbers w:val="0"/>
        <w:jc w:val="left"/>
        <w:rPr>
          <w:rFonts w:hint="default" w:ascii="微软雅黑" w:hAnsi="微软雅黑" w:eastAsia="微软雅黑" w:cs="微软雅黑"/>
          <w:color w:val="000000"/>
          <w:sz w:val="24"/>
          <w:szCs w:val="24"/>
          <w:lang w:val="en-US" w:eastAsia="zh-CN"/>
        </w:rPr>
      </w:pPr>
      <w:r>
        <w:rPr>
          <w:rFonts w:hint="eastAsia" w:ascii="微软雅黑" w:hAnsi="微软雅黑" w:eastAsia="微软雅黑" w:cs="微软雅黑"/>
          <w:color w:val="000000"/>
          <w:sz w:val="24"/>
          <w:szCs w:val="24"/>
          <w:lang w:val="en-US" w:eastAsia="zh-CN"/>
        </w:rPr>
        <w:t>进入销售界面，识别秤上商品，一个商品第一次识别时，识别结果可能为无结果，或结果不准确。当无结果，或返回结果中没有正确的结果时，需要点击【人工识别】按钮，然后在销售界面选择正确的商品，此时，插件会将此商品进行记录学习，后续再次识别，即可得到正确的结果。</w:t>
      </w:r>
    </w:p>
    <w:p>
      <w:pPr>
        <w:snapToGrid w:val="0"/>
        <w:spacing w:before="10" w:after="10" w:line="360" w:lineRule="auto"/>
        <w:rPr>
          <w:rFonts w:hint="eastAsia"/>
        </w:rPr>
      </w:pPr>
    </w:p>
    <w:p>
      <w:pPr>
        <w:pStyle w:val="3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FFFFFF" w:sz="0" w:space="0"/>
          <w:right w:val="none" w:color="auto" w:sz="0" w:space="0"/>
        </w:pBdr>
        <w:shd w:val="clear" w:fill="FFFFFF"/>
        <w:spacing w:before="450" w:beforeAutospacing="0" w:after="0" w:afterAutospacing="0" w:line="23" w:lineRule="atLeast"/>
        <w:ind w:left="0" w:right="0" w:firstLine="0"/>
        <w:rPr>
          <w:rFonts w:hint="default" w:ascii="微软雅黑" w:hAnsi="微软雅黑" w:eastAsia="微软雅黑" w:cs="微软雅黑"/>
          <w:b/>
          <w:bCs/>
          <w:sz w:val="36"/>
          <w:szCs w:val="36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36"/>
          <w:szCs w:val="36"/>
        </w:rPr>
        <w:t>第</w:t>
      </w:r>
      <w:r>
        <w:rPr>
          <w:rFonts w:hint="eastAsia" w:ascii="微软雅黑" w:hAnsi="微软雅黑" w:eastAsia="微软雅黑" w:cs="微软雅黑"/>
          <w:b/>
          <w:bCs/>
          <w:sz w:val="36"/>
          <w:szCs w:val="36"/>
          <w:lang w:val="en-US" w:eastAsia="zh-CN"/>
        </w:rPr>
        <w:t>六</w:t>
      </w:r>
      <w:r>
        <w:rPr>
          <w:rFonts w:hint="eastAsia" w:ascii="微软雅黑" w:hAnsi="微软雅黑" w:eastAsia="微软雅黑" w:cs="微软雅黑"/>
          <w:b/>
          <w:bCs/>
          <w:sz w:val="36"/>
          <w:szCs w:val="36"/>
        </w:rPr>
        <w:t>章：</w:t>
      </w:r>
      <w:r>
        <w:rPr>
          <w:rFonts w:hint="default" w:ascii="微软雅黑" w:hAnsi="微软雅黑" w:eastAsia="微软雅黑" w:cs="微软雅黑"/>
          <w:b/>
          <w:bCs/>
          <w:sz w:val="36"/>
          <w:szCs w:val="36"/>
          <w:lang w:val="en-US" w:eastAsia="zh-CN"/>
        </w:rPr>
        <w:t>导出学习数据与导入学习数据</w:t>
      </w:r>
    </w:p>
    <w:p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50" w:beforeAutospacing="0" w:after="0" w:afterAutospacing="0"/>
        <w:ind w:left="0" w:right="0" w:firstLine="0"/>
        <w:rPr>
          <w:rFonts w:hint="default" w:ascii="微软雅黑" w:hAnsi="微软雅黑" w:eastAsia="微软雅黑" w:cs="微软雅黑"/>
          <w:color w:val="000000"/>
          <w:kern w:val="2"/>
          <w:sz w:val="24"/>
          <w:szCs w:val="24"/>
          <w:lang w:val="en-US" w:eastAsia="zh-CN" w:bidi="ar-SA"/>
        </w:rPr>
      </w:pPr>
      <w:r>
        <w:rPr>
          <w:rFonts w:hint="eastAsia" w:ascii="微软雅黑" w:hAnsi="微软雅黑" w:eastAsia="微软雅黑" w:cs="微软雅黑"/>
          <w:color w:val="000000"/>
          <w:kern w:val="2"/>
          <w:sz w:val="24"/>
          <w:szCs w:val="24"/>
          <w:lang w:val="en-US" w:eastAsia="zh-CN" w:bidi="ar-SA"/>
        </w:rPr>
        <w:t>科脉慧眼AI2.0</w:t>
      </w:r>
      <w:r>
        <w:rPr>
          <w:rFonts w:hint="default" w:ascii="微软雅黑" w:hAnsi="微软雅黑" w:eastAsia="微软雅黑" w:cs="微软雅黑"/>
          <w:color w:val="000000"/>
          <w:kern w:val="2"/>
          <w:sz w:val="24"/>
          <w:szCs w:val="24"/>
          <w:lang w:val="en-US" w:eastAsia="zh-CN" w:bidi="ar-SA"/>
        </w:rPr>
        <w:t>识别学习数据是保存在本地中的，各个机器之间彼此独立。局域网的各个机器间，如果同段时间内，各个机器都在开启状态且网络相互联通，则学习数据可以共享，反之则不会自动共享。因此，若客户在一台机器上学习完毕之后，想要让其它机器也达成此效果，不想再次学习，可以点击【导出学习数据】，然后将导出的数据文件，拷贝到另一台机器中，在另一台机器中点击【导入学习数据】，选择相应的数据文件进行导入即可。</w:t>
      </w:r>
    </w:p>
    <w:p>
      <w:pPr>
        <w:pStyle w:val="6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150" w:beforeAutospacing="0" w:after="0" w:afterAutospacing="0"/>
        <w:ind w:left="0" w:right="0" w:firstLine="0"/>
        <w:rPr>
          <w:rFonts w:hint="default" w:ascii="微软雅黑" w:hAnsi="微软雅黑" w:eastAsia="微软雅黑" w:cs="微软雅黑"/>
          <w:color w:val="000000"/>
          <w:kern w:val="2"/>
          <w:sz w:val="24"/>
          <w:szCs w:val="24"/>
          <w:lang w:val="en-US" w:eastAsia="zh-CN" w:bidi="ar-SA"/>
        </w:rPr>
      </w:pPr>
      <w:bookmarkStart w:id="0" w:name="_GoBack"/>
      <w:bookmarkEnd w:id="0"/>
    </w:p>
    <w:p/>
    <w:p>
      <w:pPr>
        <w:keepNext w:val="0"/>
        <w:keepLines w:val="0"/>
        <w:widowControl/>
        <w:suppressLineNumbers w:val="0"/>
        <w:jc w:val="left"/>
        <w:rPr>
          <w:rFonts w:hint="default" w:ascii="微软雅黑" w:hAnsi="微软雅黑" w:eastAsia="微软雅黑" w:cs="微软雅黑"/>
          <w:b/>
          <w:bCs/>
          <w:sz w:val="36"/>
          <w:szCs w:val="36"/>
          <w:lang w:val="en-US" w:eastAsia="zh-CN"/>
        </w:rPr>
      </w:pPr>
    </w:p>
    <w:p>
      <w:pPr>
        <w:snapToGrid w:val="0"/>
        <w:spacing w:before="10" w:after="10" w:line="360" w:lineRule="auto"/>
        <w:rPr>
          <w:rFonts w:hint="eastAsia" w:ascii="微软雅黑" w:hAnsi="微软雅黑" w:eastAsia="微软雅黑" w:cs="微软雅黑"/>
          <w:color w:val="000000"/>
          <w:sz w:val="24"/>
          <w:szCs w:val="24"/>
        </w:rPr>
      </w:pPr>
    </w:p>
    <w:p>
      <w:pPr>
        <w:keepNext w:val="0"/>
        <w:keepLines w:val="0"/>
        <w:widowControl/>
        <w:suppressLineNumbers w:val="0"/>
        <w:jc w:val="left"/>
        <w:rPr>
          <w:rFonts w:hint="eastAsia" w:ascii="微软雅黑" w:hAnsi="微软雅黑" w:eastAsia="微软雅黑" w:cs="微软雅黑"/>
          <w:color w:val="000000"/>
          <w:sz w:val="24"/>
          <w:szCs w:val="24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/>
          <w:bCs/>
          <w:sz w:val="36"/>
          <w:szCs w:val="36"/>
          <w:lang w:val="en-US" w:eastAsia="zh-CN"/>
        </w:rPr>
      </w:pPr>
    </w:p>
    <w:p>
      <w:pPr>
        <w:snapToGrid w:val="0"/>
        <w:rPr>
          <w:rFonts w:hint="default" w:ascii="微软雅黑" w:hAnsi="微软雅黑" w:eastAsia="微软雅黑" w:cs="微软雅黑"/>
          <w:sz w:val="24"/>
          <w:szCs w:val="24"/>
          <w:lang w:val="en-US" w:eastAsia="zh-CN"/>
        </w:rPr>
      </w:pPr>
    </w:p>
    <w:p>
      <w:pPr>
        <w:snapToGrid w:val="0"/>
        <w:rPr>
          <w:rFonts w:hint="eastAsia" w:ascii="微软雅黑" w:hAnsi="微软雅黑" w:eastAsia="微软雅黑" w:cs="微软雅黑"/>
          <w:color w:val="000000"/>
          <w:szCs w:val="21"/>
        </w:rPr>
      </w:pPr>
    </w:p>
    <w:p>
      <w:pPr>
        <w:snapToGrid w:val="0"/>
        <w:spacing w:before="10" w:after="10" w:line="360" w:lineRule="auto"/>
        <w:jc w:val="center"/>
        <w:rPr>
          <w:rFonts w:hint="eastAsia" w:ascii="微软雅黑" w:hAnsi="微软雅黑" w:eastAsia="微软雅黑" w:cs="微软雅黑"/>
          <w:color w:val="000000"/>
          <w:sz w:val="24"/>
          <w:szCs w:val="24"/>
        </w:rPr>
      </w:pPr>
      <w:r>
        <w:rPr>
          <w:rFonts w:hint="eastAsia" w:ascii="微软雅黑" w:hAnsi="微软雅黑" w:eastAsia="微软雅黑" w:cs="微软雅黑"/>
          <w:color w:val="000000"/>
          <w:sz w:val="24"/>
          <w:szCs w:val="24"/>
        </w:rPr>
        <w:drawing>
          <wp:inline distT="0" distB="0" distL="0" distR="0">
            <wp:extent cx="1533525" cy="15049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napToGrid w:val="0"/>
        <w:spacing w:before="10" w:after="10" w:line="360" w:lineRule="auto"/>
        <w:jc w:val="center"/>
        <w:rPr>
          <w:rFonts w:hint="eastAsia" w:ascii="微软雅黑" w:hAnsi="微软雅黑" w:eastAsia="微软雅黑" w:cs="微软雅黑"/>
          <w:b/>
          <w:bCs/>
          <w:color w:val="000000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24"/>
          <w:szCs w:val="24"/>
        </w:rPr>
        <w:t>微信扫一扫，关注科脉微服务</w:t>
      </w:r>
    </w:p>
    <w:p>
      <w:pPr>
        <w:snapToGrid w:val="0"/>
        <w:spacing w:before="10" w:after="10" w:line="360" w:lineRule="auto"/>
        <w:jc w:val="center"/>
        <w:rPr>
          <w:rFonts w:hint="eastAsia" w:ascii="微软雅黑" w:hAnsi="微软雅黑" w:eastAsia="微软雅黑" w:cs="微软雅黑"/>
          <w:b/>
          <w:bCs/>
          <w:color w:val="000000"/>
          <w:sz w:val="24"/>
          <w:szCs w:val="24"/>
        </w:rPr>
      </w:pPr>
      <w:r>
        <w:rPr>
          <w:rFonts w:hint="eastAsia" w:ascii="微软雅黑" w:hAnsi="微软雅黑" w:eastAsia="微软雅黑" w:cs="微软雅黑"/>
          <w:b/>
          <w:bCs/>
          <w:color w:val="000000"/>
          <w:sz w:val="24"/>
          <w:szCs w:val="24"/>
        </w:rPr>
        <w:t>技术问题搜索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napToGrid w:val="0"/>
      <w:jc w:val="left"/>
      <w:rPr>
        <w:rFonts w:ascii="宋体" w:hAnsi="宋体" w:eastAsia="宋体"/>
        <w:color w:val="000000"/>
        <w:sz w:val="18"/>
        <w:szCs w:val="18"/>
      </w:rPr>
    </w:pPr>
    <w:r>
      <w:drawing>
        <wp:inline distT="0" distB="0" distL="0" distR="0">
          <wp:extent cx="5267325" cy="676275"/>
          <wp:effectExtent l="0" t="0" r="0" b="0"/>
          <wp:docPr id="7" name="图片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67325" cy="6762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sdt>
      <w:sdtPr>
        <w:id w:val="-1589924921"/>
        <w:lock w:val="sdtContentLocked"/>
        <w:docPartObj>
          <w:docPartGallery w:val="autotext"/>
        </w:docPartObj>
      </w:sdtPr>
      <w:sdtContent>
        <w:r>
          <w:rPr>
            <w:lang w:eastAsia="zh-TW"/>
          </w:rPr>
          <w:pict>
            <v:shape id="PowerPlusWaterMarkObject357476642" o:spid="_x0000_s1025" o:spt="136" type="#_x0000_t136" style="position:absolute;left:0pt;height:131.95pt;width:527.85pt;mso-position-horizontal:center;mso-position-horizontal-relative:margin;mso-position-vertical:center;mso-position-vertical-relative:margin;rotation:20643840f;z-index:-251657216;mso-width-relative:page;mso-height-relative:page;" fillcolor="#C0C0C0" filled="t" stroked="f" coordsize="21600,21600" o:allowincell="f">
              <v:path/>
              <v:fill on="t" opacity="32768f" focussize="0,0"/>
              <v:stroke on="f"/>
              <v:imagedata o:title=""/>
              <o:lock v:ext="edit"/>
              <v:textpath on="t" fitshape="t" fitpath="t" trim="f" xscale="f" string="科脉" style="font-family:微软雅黑;font-size:1pt;v-text-align:center;"/>
            </v:shape>
          </w:pict>
        </w:r>
      </w:sdtContent>
    </w:sdt>
  </w:p>
  <w:p/>
  <w:p>
    <w:pPr>
      <w:snapToGrid w:val="0"/>
      <w:jc w:val="center"/>
      <w:rPr>
        <w:rFonts w:ascii="宋体" w:hAnsi="宋体" w:eastAsia="宋体"/>
        <w:color w:val="000000"/>
        <w:sz w:val="18"/>
        <w:szCs w:val="18"/>
      </w:rPr>
    </w:pPr>
    <w:r>
      <w:drawing>
        <wp:inline distT="0" distB="0" distL="0" distR="0">
          <wp:extent cx="5267325" cy="571500"/>
          <wp:effectExtent l="0" t="0" r="0" b="0"/>
          <wp:docPr id="6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67325" cy="5715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00"/>
  <w:displayBackgroundShape w:val="1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mYxNjAwNWI1ZjY4ODU3NThkZWQ2Y2UwYjZjZjBlNDkifQ=="/>
  </w:docVars>
  <w:rsids>
    <w:rsidRoot w:val="00BA0C1A"/>
    <w:rsid w:val="000C51B7"/>
    <w:rsid w:val="00216EB9"/>
    <w:rsid w:val="003D7CA6"/>
    <w:rsid w:val="00494D33"/>
    <w:rsid w:val="00547A95"/>
    <w:rsid w:val="0059531B"/>
    <w:rsid w:val="00616505"/>
    <w:rsid w:val="0062213C"/>
    <w:rsid w:val="00633F40"/>
    <w:rsid w:val="006549AD"/>
    <w:rsid w:val="00684D9C"/>
    <w:rsid w:val="00A60633"/>
    <w:rsid w:val="00AF04B6"/>
    <w:rsid w:val="00BA0C1A"/>
    <w:rsid w:val="00C061CB"/>
    <w:rsid w:val="00C604EC"/>
    <w:rsid w:val="00C9744C"/>
    <w:rsid w:val="00CF0106"/>
    <w:rsid w:val="00E26251"/>
    <w:rsid w:val="00EA1EE8"/>
    <w:rsid w:val="00F53662"/>
    <w:rsid w:val="00FD6D6C"/>
    <w:rsid w:val="083D07F0"/>
    <w:rsid w:val="085E1E1B"/>
    <w:rsid w:val="09A650A4"/>
    <w:rsid w:val="09A92472"/>
    <w:rsid w:val="105E3B74"/>
    <w:rsid w:val="126E5877"/>
    <w:rsid w:val="1C2C4424"/>
    <w:rsid w:val="1CD54CE6"/>
    <w:rsid w:val="1DEC38DC"/>
    <w:rsid w:val="2451208D"/>
    <w:rsid w:val="24942439"/>
    <w:rsid w:val="2C1A76C8"/>
    <w:rsid w:val="30456175"/>
    <w:rsid w:val="36772279"/>
    <w:rsid w:val="3EBB19E4"/>
    <w:rsid w:val="42CB7920"/>
    <w:rsid w:val="434067C1"/>
    <w:rsid w:val="4E372A67"/>
    <w:rsid w:val="50CD4901"/>
    <w:rsid w:val="568D20C3"/>
    <w:rsid w:val="59883A85"/>
    <w:rsid w:val="5B2F01EA"/>
    <w:rsid w:val="5DC52DD1"/>
    <w:rsid w:val="60B847DE"/>
    <w:rsid w:val="620829AC"/>
    <w:rsid w:val="6A9C13A8"/>
    <w:rsid w:val="6EAF13B0"/>
    <w:rsid w:val="703B6CD7"/>
    <w:rsid w:val="71061E72"/>
    <w:rsid w:val="758A541B"/>
    <w:rsid w:val="78940305"/>
    <w:rsid w:val="7A3B2499"/>
    <w:rsid w:val="7C8D4919"/>
    <w:rsid w:val="7EA072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240" w:after="240" w:line="408" w:lineRule="auto"/>
      <w:jc w:val="left"/>
      <w:outlineLvl w:val="0"/>
    </w:pPr>
    <w:rPr>
      <w:b/>
      <w:bCs/>
      <w:color w:val="000000"/>
      <w:kern w:val="44"/>
      <w:sz w:val="44"/>
      <w:szCs w:val="44"/>
    </w:rPr>
  </w:style>
  <w:style w:type="paragraph" w:styleId="3">
    <w:name w:val="heading 2"/>
    <w:basedOn w:val="1"/>
    <w:next w:val="1"/>
    <w:semiHidden/>
    <w:unhideWhenUsed/>
    <w:qFormat/>
    <w:uiPriority w:val="9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semiHidden/>
    <w:unhideWhenUsed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8">
    <w:name w:val="Table Grid"/>
    <w:basedOn w:val="7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0">
    <w:name w:val="页眉 字符"/>
    <w:basedOn w:val="9"/>
    <w:link w:val="5"/>
    <w:semiHidden/>
    <w:qFormat/>
    <w:uiPriority w:val="99"/>
    <w:rPr>
      <w:sz w:val="18"/>
      <w:szCs w:val="18"/>
    </w:rPr>
  </w:style>
  <w:style w:type="character" w:customStyle="1" w:styleId="11">
    <w:name w:val="页脚 字符"/>
    <w:basedOn w:val="9"/>
    <w:link w:val="4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2.xml"/><Relationship Id="rId15" Type="http://schemas.openxmlformats.org/officeDocument/2006/relationships/customXml" Target="../customXml/item1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</customShpExts>
</s:customData>
</file>

<file path=customXml/item2.xml><?xml version="1.0" encoding="utf-8"?>
<b:Sourc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s="http://schemas.microsoft.com/office/word/2010/wordprocessingShape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SelectedStyle="\APASixthEditionOfficeOnline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19BC990-40FD-42B6-B8DA-69B41A76D25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8</Pages>
  <Words>584</Words>
  <Characters>650</Characters>
  <Lines>3</Lines>
  <Paragraphs>1</Paragraphs>
  <TotalTime>1</TotalTime>
  <ScaleCrop>false</ScaleCrop>
  <LinksUpToDate>false</LinksUpToDate>
  <CharactersWithSpaces>652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2022-01-19T07:51:00Z</dcterms:created>
  <dc:creator>Tencent</dc:creator>
  <cp:lastModifiedBy>frozen sunshine</cp:lastModifiedBy>
  <dcterms:modified xsi:type="dcterms:W3CDTF">2023-04-01T09:06:53Z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3DEC80907A0D46CAB05DD5C4BE7D7E9C</vt:lpwstr>
  </property>
</Properties>
</file>